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23.06.2026 N 113</w:t>
              <w:br/>
              <w:t xml:space="preserve">"О внесении изменений в решение Пермской городской Думы от 21.12.2021 N 315 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23 июня 2026 г. N 113</w:t>
      </w:r>
    </w:p>
    <w:p>
      <w:pPr>
        <w:pStyle w:val="2"/>
        <w:jc w:val="right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РЕШЕНИЕ ПЕРМСКОЙ ГОРОДСКОЙ ДУМЫ</w:t>
      </w:r>
    </w:p>
    <w:p>
      <w:pPr>
        <w:pStyle w:val="2"/>
        <w:jc w:val="center"/>
      </w:pPr>
      <w:r>
        <w:rPr>
          <w:sz w:val="24"/>
        </w:rPr>
        <w:t xml:space="preserve">ОТ 21.12.2021 N 315 "О МУНИЦИПАЛЬНОМ КОНТРОЛЕ ЗА ИСПОЛНЕНИЕМ</w:t>
      </w:r>
    </w:p>
    <w:p>
      <w:pPr>
        <w:pStyle w:val="2"/>
        <w:jc w:val="center"/>
      </w:pPr>
      <w:r>
        <w:rPr>
          <w:sz w:val="24"/>
        </w:rPr>
        <w:t xml:space="preserve">ЕДИНОЙ ТЕПЛОСНАБЖАЮЩЕЙ ОРГАНИЗАЦИЕЙ ОБЯЗАТЕЛЬСТВ</w:t>
      </w:r>
    </w:p>
    <w:p>
      <w:pPr>
        <w:pStyle w:val="2"/>
        <w:jc w:val="center"/>
      </w:pPr>
      <w:r>
        <w:rPr>
          <w:sz w:val="24"/>
        </w:rPr>
        <w:t xml:space="preserve">ПО СТРОИТЕЛЬСТВУ, РЕКОНСТРУКЦИИ И (ИЛИ) МОДЕРНИЗАЦИИ</w:t>
      </w:r>
    </w:p>
    <w:p>
      <w:pPr>
        <w:pStyle w:val="2"/>
        <w:jc w:val="center"/>
      </w:pPr>
      <w:r>
        <w:rPr>
          <w:sz w:val="24"/>
        </w:rPr>
        <w:t xml:space="preserve">ОБЪЕКТОВ ТЕПЛОСНАБЖЕНИЯ 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31.07.2020 N 248-ФЗ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Внести в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21.12.2021 N 315 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 (в редакции решений Пермской городской Думы от 22.02.2022 N 39, от 24.05.2022 N 124, от 22.08.2023 N 163, от 25.06.2024 N 111, от 25.06.2024 N 117, от 24.04.2025 N 83, от 26.08.2025 N 155) изменения: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r>
        <w:rPr>
          <w:sz w:val="24"/>
        </w:rPr>
        <w:t xml:space="preserve">дополнить</w:t>
      </w:r>
      <w:r>
        <w:rPr>
          <w:sz w:val="24"/>
        </w:rPr>
        <w:t xml:space="preserve"> подпунктом 1.3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"1.3. Перечень индикаторов риска нарушения обязательных требований,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Перми, согласно приложению 3 к настоящему решению.";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в </w:t>
      </w:r>
      <w:r>
        <w:rPr>
          <w:sz w:val="24"/>
        </w:rPr>
        <w:t xml:space="preserve">Положении</w:t>
      </w:r>
      <w:r>
        <w:rPr>
          <w:sz w:val="24"/>
        </w:rPr>
        <w:t xml:space="preserve">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 (приложение 1):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1</w:t>
      </w:r>
    </w:p>
    <w:p>
      <w:pPr>
        <w:pStyle w:val="1"/>
        <w:jc w:val="both"/>
      </w:pPr>
      <w:r>
        <w:rPr>
          <w:sz w:val="20"/>
        </w:rPr>
        <w:t xml:space="preserve">    1.2.1. в </w:t>
      </w:r>
      <w:r>
        <w:rPr>
          <w:sz w:val="20"/>
        </w:rPr>
        <w:t xml:space="preserve">пункте 1 .5</w:t>
      </w:r>
      <w:r>
        <w:rPr>
          <w:sz w:val="20"/>
        </w:rPr>
        <w:t xml:space="preserve">:</w:t>
      </w:r>
    </w:p>
    <w:p>
      <w:pPr>
        <w:pStyle w:val="0"/>
        <w:ind w:firstLine="540"/>
        <w:jc w:val="both"/>
      </w:pPr>
      <w:r>
        <w:rPr>
          <w:sz w:val="24"/>
        </w:rPr>
        <w:t xml:space="preserve">1.2.1.1. в </w:t>
      </w:r>
      <w:r>
        <w:rPr>
          <w:sz w:val="24"/>
        </w:rPr>
        <w:t xml:space="preserve">абзаце втором</w:t>
      </w:r>
      <w:r>
        <w:rPr>
          <w:sz w:val="24"/>
        </w:rPr>
        <w:t xml:space="preserve"> слова "единого портала государственных и муниципальных услуг (функций)" заменить словами "федеральной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1.2.1.2. </w:t>
      </w:r>
      <w:r>
        <w:rPr>
          <w:sz w:val="24"/>
        </w:rPr>
        <w:t xml:space="preserve">дополнить</w:t>
      </w:r>
      <w:r>
        <w:rPr>
          <w:sz w:val="24"/>
        </w:rPr>
        <w:t xml:space="preserve">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"Объект Муниципального контроля считается отнесенным к одной из категорий риска после внесения сведений в единый реестр видов федерального государственного контроля (надзора), регионального государственного контроля (надзора), муниципального контроля.";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1.2.2. </w:t>
      </w:r>
      <w:r>
        <w:rPr>
          <w:sz w:val="24"/>
        </w:rPr>
        <w:t xml:space="preserve">абзац первый пункта 2.9</w:t>
      </w:r>
      <w:r>
        <w:rPr>
          <w:sz w:val="24"/>
        </w:rPr>
        <w:t xml:space="preserve"> дополнить словами ", в том числе посредством единого портала государственных и муниципальных услуг или регионального портала государственных и муниципальных услуг";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1.2.3. </w:t>
      </w:r>
      <w:r>
        <w:rPr>
          <w:sz w:val="24"/>
        </w:rPr>
        <w:t xml:space="preserve">абзац третий пункта 2.14</w:t>
      </w:r>
      <w:r>
        <w:rPr>
          <w:sz w:val="24"/>
        </w:rPr>
        <w:t xml:space="preserve"> после слова "видео-конференц-связи," дополнить словами "использования мобильного приложения "Инспектор",";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1.2.4. </w:t>
      </w:r>
      <w:r>
        <w:rPr>
          <w:sz w:val="24"/>
        </w:rPr>
        <w:t xml:space="preserve">абзац второй пункта 2.16</w:t>
      </w:r>
      <w:r>
        <w:rPr>
          <w:sz w:val="24"/>
        </w:rPr>
        <w:t xml:space="preserve"> изложить в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"контролируемым лицом или его представителем представлен письменный запрос, направленный в том числе посредством единого портала государственных и муниципальных услуг или регионального портала государственных и муниципальных услуг, о представлении письменного ответа по вопросам консультирования,";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1.2.5. </w:t>
      </w:r>
      <w:r>
        <w:rPr>
          <w:sz w:val="24"/>
        </w:rPr>
        <w:t xml:space="preserve">абзац второй подпункта 2.21.1</w:t>
      </w:r>
      <w:r>
        <w:rPr>
          <w:sz w:val="24"/>
        </w:rPr>
        <w:t xml:space="preserve"> признать утратившими силу;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1</w:t>
      </w:r>
    </w:p>
    <w:p>
      <w:pPr>
        <w:pStyle w:val="1"/>
        <w:jc w:val="both"/>
      </w:pPr>
      <w:r>
        <w:rPr>
          <w:sz w:val="20"/>
        </w:rPr>
        <w:t xml:space="preserve">    1.2.6. </w:t>
      </w:r>
      <w:r>
        <w:rPr>
          <w:sz w:val="20"/>
        </w:rPr>
        <w:t xml:space="preserve">пункт 3.4</w:t>
      </w:r>
      <w:r>
        <w:rPr>
          <w:sz w:val="20"/>
        </w:rPr>
        <w:t xml:space="preserve">  изложить в редакции: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"3.4 .  В  целях  оценки  риска  причинения  вреда  (ущерба) охраняемым</w:t>
      </w:r>
    </w:p>
    <w:p>
      <w:pPr>
        <w:pStyle w:val="1"/>
        <w:jc w:val="both"/>
      </w:pPr>
      <w:r>
        <w:rPr>
          <w:sz w:val="20"/>
        </w:rPr>
        <w:t xml:space="preserve">законом   ценностям  при  принятии  решения  о  проведении  и  выборе  вида</w:t>
      </w:r>
    </w:p>
    <w:p>
      <w:pPr>
        <w:pStyle w:val="1"/>
        <w:jc w:val="both"/>
      </w:pPr>
      <w:r>
        <w:rPr>
          <w:sz w:val="20"/>
        </w:rPr>
        <w:t xml:space="preserve">внепланового  контрольного  мероприятия Орган контроля применяет индикаторы</w:t>
      </w:r>
    </w:p>
    <w:p>
      <w:pPr>
        <w:pStyle w:val="1"/>
        <w:jc w:val="both"/>
      </w:pPr>
      <w:r>
        <w:rPr>
          <w:sz w:val="20"/>
        </w:rPr>
        <w:t xml:space="preserve">риска  в  соответствии  с перечнем индикаторов риска нарушения обязательных</w:t>
      </w:r>
    </w:p>
    <w:p>
      <w:pPr>
        <w:pStyle w:val="1"/>
        <w:jc w:val="both"/>
      </w:pPr>
      <w:r>
        <w:rPr>
          <w:sz w:val="20"/>
        </w:rPr>
        <w:t xml:space="preserve">требований,   используемых   при   осуществлении  Муниципального  контроля,</w:t>
      </w:r>
    </w:p>
    <w:p>
      <w:pPr>
        <w:pStyle w:val="1"/>
        <w:jc w:val="both"/>
      </w:pPr>
      <w:r>
        <w:rPr>
          <w:sz w:val="20"/>
        </w:rPr>
        <w:t xml:space="preserve">утверждаемым правовым актом Пермской городской Думы.";</w:t>
      </w:r>
    </w:p>
    <w:p>
      <w:pPr>
        <w:pStyle w:val="0"/>
        <w:ind w:firstLine="540"/>
        <w:jc w:val="both"/>
      </w:pPr>
      <w:r>
        <w:rPr>
          <w:sz w:val="24"/>
        </w:rPr>
        <w:t xml:space="preserve">1.2.7. </w:t>
      </w:r>
      <w:r>
        <w:rPr>
          <w:sz w:val="24"/>
        </w:rPr>
        <w:t xml:space="preserve">пункт 3.14</w:t>
      </w:r>
      <w:r>
        <w:rPr>
          <w:sz w:val="24"/>
        </w:rPr>
        <w:t xml:space="preserve"> изложить в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"3.14. Если имеющихся в распоряжении у Органа контроля сведений и документов недостаточно, то в ходе документарной проверки могут совершаться следующие контрольные действия: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письменных объяснений,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истребование документов.";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            1</w:t>
      </w:r>
    </w:p>
    <w:p>
      <w:pPr>
        <w:pStyle w:val="1"/>
        <w:jc w:val="both"/>
      </w:pPr>
      <w:r>
        <w:rPr>
          <w:sz w:val="20"/>
        </w:rPr>
        <w:t xml:space="preserve">    1.2.8. </w:t>
      </w:r>
      <w:r>
        <w:rPr>
          <w:sz w:val="20"/>
        </w:rPr>
        <w:t xml:space="preserve">дополнить</w:t>
      </w:r>
      <w:r>
        <w:rPr>
          <w:sz w:val="20"/>
        </w:rPr>
        <w:t xml:space="preserve"> пунктом 3.14  следующего содержания:</w:t>
      </w:r>
    </w:p>
    <w:p>
      <w:pPr>
        <w:pStyle w:val="1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"3.14 .  Документы, указанные в пункте 3.14 настоящего Положения, могут</w:t>
      </w:r>
    </w:p>
    <w:p>
      <w:pPr>
        <w:pStyle w:val="1"/>
        <w:jc w:val="both"/>
      </w:pPr>
      <w:r>
        <w:rPr>
          <w:sz w:val="20"/>
        </w:rPr>
        <w:t xml:space="preserve">представляться  контролируемыми  лицами  с  использованием  единого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 и    муниципальных    услуг,    регионального    портала</w:t>
      </w:r>
    </w:p>
    <w:p>
      <w:pPr>
        <w:pStyle w:val="1"/>
        <w:jc w:val="both"/>
      </w:pPr>
      <w:r>
        <w:rPr>
          <w:sz w:val="20"/>
        </w:rPr>
        <w:t xml:space="preserve">государственных   и   муниципальных   услуг   или   мобильного   приложения</w:t>
      </w:r>
    </w:p>
    <w:p>
      <w:pPr>
        <w:pStyle w:val="1"/>
        <w:jc w:val="both"/>
      </w:pPr>
      <w:r>
        <w:rPr>
          <w:sz w:val="20"/>
        </w:rPr>
        <w:t xml:space="preserve">"Инспектор".";</w:t>
      </w:r>
    </w:p>
    <w:p>
      <w:pPr>
        <w:pStyle w:val="0"/>
        <w:ind w:firstLine="540"/>
        <w:jc w:val="both"/>
      </w:pPr>
      <w:r>
        <w:rPr>
          <w:sz w:val="24"/>
        </w:rPr>
        <w:t xml:space="preserve">1.2.9. </w:t>
      </w:r>
      <w:r>
        <w:rPr>
          <w:sz w:val="24"/>
        </w:rPr>
        <w:t xml:space="preserve">пункт 3.18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"Срок проведения выездных проверок и срок взаимодействия с субъектами малого предпринимательства в ходе проведения выездных проверок, установленные абзацем первым настоящего пункта, распространяются на социально ориентированные некоммерческие организации, требования к которым указаны в части 7.1 статьи 73 Федерального закона о контроле.";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1.2.10. </w:t>
      </w:r>
      <w:r>
        <w:rPr>
          <w:sz w:val="24"/>
        </w:rPr>
        <w:t xml:space="preserve">дополнить</w:t>
      </w:r>
      <w:r>
        <w:rPr>
          <w:sz w:val="24"/>
        </w:rPr>
        <w:t xml:space="preserve"> пунктом 4.6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"4.6.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1.2.11. </w:t>
      </w:r>
      <w:r>
        <w:rPr>
          <w:sz w:val="24"/>
        </w:rPr>
        <w:t xml:space="preserve">пункт 3.22</w:t>
      </w:r>
      <w:r>
        <w:rPr>
          <w:sz w:val="24"/>
        </w:rPr>
        <w:t xml:space="preserve"> дополнить абзацем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"Выездное обследование может быть проведено с использованием беспилотных аппаратов (систем).";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1.2.12. </w:t>
      </w:r>
      <w:r>
        <w:rPr>
          <w:sz w:val="24"/>
        </w:rPr>
        <w:t xml:space="preserve">абзац первый пункта 3.26</w:t>
      </w:r>
      <w:r>
        <w:rPr>
          <w:sz w:val="24"/>
        </w:rPr>
        <w:t xml:space="preserve"> после слова "видеозапись" дополнить словами ", в том числе полученные с использованием беспилотных аппаратов (систем)";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</w:t>
      </w:r>
      <w:r>
        <w:rPr>
          <w:sz w:val="24"/>
        </w:rPr>
        <w:t xml:space="preserve">дополнить</w:t>
      </w:r>
      <w:r>
        <w:rPr>
          <w:sz w:val="24"/>
        </w:rPr>
        <w:t xml:space="preserve"> приложением 3 "Перечень индикаторов риска нарушения обязательных требований,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 согласно </w:t>
      </w:r>
      <w:hyperlink w:tooltip="ПЕРЕЧЕНЬ" w:anchor="P77" w:history="0">
        <w:r>
          <w:rPr>
            <w:color w:val="0000ff"/>
            <w:sz w:val="24"/>
          </w:rPr>
          <w:t xml:space="preserve">приложению</w:t>
        </w:r>
      </w:hyperlink>
      <w:r>
        <w:rPr>
          <w:sz w:val="24"/>
        </w:rPr>
        <w:t xml:space="preserve">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решение вступает в силу со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Обнародовать настоящее решение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а также в сетевом издании "Официальный сайт муниципального образования город Пермь </w:t>
      </w:r>
      <w:hyperlink r:id="rId1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Контроль за исполнением настоящего решения возложить на комитет Пермской городской Думы по городскому хозяйству.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Д.В.МАЛЮТИН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23.06.2026 N 113</w:t>
      </w:r>
    </w:p>
    <w:p>
      <w:pPr>
        <w:pStyle w:val="0"/>
        <w:jc w:val="both"/>
      </w:pPr>
      <w:r>
        <w:rPr>
          <w:sz w:val="24"/>
        </w:rPr>
      </w:r>
    </w:p>
    <w:bookmarkStart w:id="77" w:name="P77"/>
    <w:bookmarkEnd w:id="77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ИНДИКАТОРОВ РИСКА НАРУШЕНИЯ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ИСПОЛЬЗУЕМЫХ ПРИ ОСУЩЕСТВЛЕНИИ МУНИЦИПАЛЬНОГО КОНТРОЛЯ</w:t>
      </w:r>
    </w:p>
    <w:p>
      <w:pPr>
        <w:pStyle w:val="2"/>
        <w:jc w:val="center"/>
      </w:pPr>
      <w:r>
        <w:rPr>
          <w:sz w:val="24"/>
        </w:rPr>
        <w:t xml:space="preserve">ЗА ИСПОЛНЕНИЕМ ЕДИНОЙ ТЕПЛОСНАБЖАЮЩЕЙ ОРГАНИЗАЦИЕЙ</w:t>
      </w:r>
    </w:p>
    <w:p>
      <w:pPr>
        <w:pStyle w:val="2"/>
        <w:jc w:val="center"/>
      </w:pPr>
      <w:r>
        <w:rPr>
          <w:sz w:val="24"/>
        </w:rPr>
        <w:t xml:space="preserve">ОБЯЗАТЕЛЬСТВ ПО СТРОИТЕЛЬСТВУ, РЕКОНСТРУКЦИИ И (ИЛИ)</w:t>
      </w:r>
    </w:p>
    <w:p>
      <w:pPr>
        <w:pStyle w:val="2"/>
        <w:jc w:val="center"/>
      </w:pPr>
      <w:r>
        <w:rPr>
          <w:sz w:val="24"/>
        </w:rPr>
        <w:t xml:space="preserve">МОДЕРНИЗАЦИИ ОБЪЕКТОВ ТЕПЛОСНАБЖЕНИЯ НА ТЕРРИТОРИИ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оценки риска причинения вреда (ущерба) охраняемым законом ценностям устанавливается следующий индикатор риска нарушения обязательных требований, соответствие которому является основанием для проведения внепланового контрольного мероприятия, предусматривающего взаимодействие с контролируемым лицом: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функционального органа администрации города Перми, осуществляющего функции в сфере жилищно-коммунального хозяйства,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 о фактах нарушений контролируемыми лицами обязательных требований.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23.06.2026 N 113</w:t>
            <w:br/>
            <w:t xml:space="preserve">"О внесении изменений в решение Пермской городской Думы от 21.12.202...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23.06.2026 N 113</w:t>
            <w:br/>
            <w:t xml:space="preserve">"О внесении изменений в решение Пермской городской Думы от 21.12.202...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23.06.2026 N 113
"О внесении изменений в решение Пермской городской Думы от 21.12.2021 N 315 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dc:title>
  <cp:lastModifiedBy>volodina-en</cp:lastModifiedBy>
  <dcterms:created xsi:type="dcterms:W3CDTF">2026-08-31T10:41:59Z</dcterms:created>
</cp:coreProperties>
</file>